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A3AD" w14:textId="77777777" w:rsidR="005A04D1" w:rsidRPr="00054960" w:rsidRDefault="005A04D1" w:rsidP="005A04D1">
      <w:pPr>
        <w:rPr>
          <w:rFonts w:ascii="Forma DJR Micro" w:hAnsi="Forma DJR Micro" w:cstheme="majorHAnsi"/>
          <w:b/>
          <w:sz w:val="24"/>
          <w:szCs w:val="24"/>
        </w:rPr>
      </w:pPr>
      <w:r w:rsidRPr="00054960">
        <w:rPr>
          <w:rFonts w:ascii="Forma DJR Micro" w:hAnsi="Forma DJR Micro" w:cstheme="majorHAnsi"/>
          <w:b/>
          <w:sz w:val="24"/>
          <w:szCs w:val="24"/>
        </w:rPr>
        <w:t>Apogee Group Limited</w:t>
      </w:r>
    </w:p>
    <w:p w14:paraId="6D1C0F24" w14:textId="77777777" w:rsidR="005A04D1" w:rsidRPr="00054960" w:rsidRDefault="005A04D1" w:rsidP="005A04D1">
      <w:pPr>
        <w:rPr>
          <w:rFonts w:ascii="Forma DJR Micro" w:hAnsi="Forma DJR Micro" w:cstheme="majorHAnsi"/>
          <w:b/>
          <w:sz w:val="24"/>
          <w:szCs w:val="24"/>
        </w:rPr>
      </w:pPr>
      <w:r w:rsidRPr="00054960">
        <w:rPr>
          <w:rFonts w:ascii="Forma DJR Micro" w:hAnsi="Forma DJR Micro" w:cstheme="majorHAnsi"/>
          <w:b/>
          <w:sz w:val="24"/>
          <w:szCs w:val="24"/>
        </w:rPr>
        <w:t>Tax Strategy for UK Companies</w:t>
      </w:r>
    </w:p>
    <w:p w14:paraId="687DDC79" w14:textId="77777777" w:rsidR="005A04D1" w:rsidRPr="00054960" w:rsidRDefault="005A04D1" w:rsidP="005A04D1">
      <w:pPr>
        <w:rPr>
          <w:rFonts w:ascii="Forma DJR Micro" w:hAnsi="Forma DJR Micro" w:cstheme="minorHAnsi"/>
          <w:sz w:val="24"/>
          <w:szCs w:val="24"/>
        </w:rPr>
      </w:pPr>
    </w:p>
    <w:p w14:paraId="3F800CA9" w14:textId="77777777" w:rsidR="005A04D1" w:rsidRPr="00054960" w:rsidRDefault="005A04D1" w:rsidP="005A04D1">
      <w:pPr>
        <w:rPr>
          <w:rFonts w:ascii="Forma DJR Micro" w:hAnsi="Forma DJR Micro" w:cstheme="minorHAnsi"/>
          <w:b/>
        </w:rPr>
      </w:pPr>
      <w:r w:rsidRPr="00054960">
        <w:rPr>
          <w:rFonts w:ascii="Forma DJR Micro" w:hAnsi="Forma DJR Micro" w:cstheme="minorHAnsi"/>
          <w:b/>
        </w:rPr>
        <w:t>Introduction</w:t>
      </w:r>
    </w:p>
    <w:p w14:paraId="2E728F27" w14:textId="0FA48E70" w:rsidR="005A04D1" w:rsidRPr="00054960" w:rsidRDefault="005A04D1" w:rsidP="005A04D1">
      <w:pPr>
        <w:rPr>
          <w:rFonts w:ascii="Forma DJR Micro" w:hAnsi="Forma DJR Micro" w:cstheme="minorHAnsi"/>
          <w:color w:val="FF0000"/>
        </w:rPr>
      </w:pPr>
      <w:r w:rsidRPr="00054960">
        <w:rPr>
          <w:rFonts w:ascii="Forma DJR Micro" w:hAnsi="Forma DJR Micro" w:cstheme="minorHAnsi"/>
        </w:rPr>
        <w:t>Apogee is the largest independent managed services provider of print and document technology and outsourcing services across the UK and Europe.</w:t>
      </w:r>
      <w:r w:rsidR="008321A0" w:rsidRPr="00054960">
        <w:rPr>
          <w:rFonts w:ascii="Forma DJR Micro" w:hAnsi="Forma DJR Micro" w:cstheme="minorHAnsi"/>
        </w:rPr>
        <w:t xml:space="preserve"> Apogee has subsidiaries in and outside </w:t>
      </w:r>
      <w:r w:rsidR="00EC26BD" w:rsidRPr="00054960">
        <w:rPr>
          <w:rFonts w:ascii="Forma DJR Micro" w:hAnsi="Forma DJR Micro" w:cstheme="minorHAnsi"/>
        </w:rPr>
        <w:t>the UK (hereafter: Apogee Group).</w:t>
      </w:r>
      <w:r w:rsidR="00165E2F" w:rsidRPr="00054960">
        <w:rPr>
          <w:rFonts w:ascii="Forma DJR Micro" w:hAnsi="Forma DJR Micro" w:cstheme="minorHAnsi"/>
        </w:rPr>
        <w:t xml:space="preserve"> </w:t>
      </w:r>
      <w:r w:rsidRPr="00054960">
        <w:rPr>
          <w:rFonts w:ascii="Forma DJR Micro" w:hAnsi="Forma DJR Micro" w:cstheme="minorHAnsi"/>
        </w:rPr>
        <w:t>On November 1</w:t>
      </w:r>
      <w:r w:rsidRPr="00054960">
        <w:rPr>
          <w:rFonts w:ascii="Forma DJR Micro" w:hAnsi="Forma DJR Micro" w:cstheme="minorHAnsi"/>
          <w:vertAlign w:val="superscript"/>
        </w:rPr>
        <w:t>st</w:t>
      </w:r>
      <w:proofErr w:type="gramStart"/>
      <w:r w:rsidRPr="00054960">
        <w:rPr>
          <w:rFonts w:ascii="Forma DJR Micro" w:hAnsi="Forma DJR Micro" w:cstheme="minorHAnsi"/>
        </w:rPr>
        <w:t xml:space="preserve"> 2018</w:t>
      </w:r>
      <w:proofErr w:type="gramEnd"/>
      <w:r w:rsidRPr="00054960">
        <w:rPr>
          <w:rFonts w:ascii="Forma DJR Micro" w:hAnsi="Forma DJR Micro" w:cstheme="minorHAnsi"/>
        </w:rPr>
        <w:t xml:space="preserve"> Apogee was acquired by HP Inc, though continues to operate as an independent subsidiary.</w:t>
      </w:r>
    </w:p>
    <w:p w14:paraId="7BEAAA40" w14:textId="27D36BCB"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 xml:space="preserve">This tax strategy applies to Apogee Group Limited and its UK group companies and is relevant for the financial period ending </w:t>
      </w:r>
      <w:r w:rsidRPr="005E14AA">
        <w:rPr>
          <w:rFonts w:ascii="Forma DJR Micro" w:hAnsi="Forma DJR Micro" w:cstheme="minorHAnsi"/>
        </w:rPr>
        <w:t>31 October 202</w:t>
      </w:r>
      <w:r w:rsidR="00C14808" w:rsidRPr="005E14AA">
        <w:rPr>
          <w:rFonts w:ascii="Forma DJR Micro" w:hAnsi="Forma DJR Micro" w:cstheme="minorHAnsi"/>
        </w:rPr>
        <w:t>5</w:t>
      </w:r>
      <w:r w:rsidRPr="005E14AA">
        <w:rPr>
          <w:rFonts w:ascii="Forma DJR Micro" w:hAnsi="Forma DJR Micro" w:cstheme="minorHAnsi"/>
        </w:rPr>
        <w:t>.</w:t>
      </w:r>
      <w:r w:rsidRPr="00054960">
        <w:rPr>
          <w:rFonts w:ascii="Forma DJR Micro" w:hAnsi="Forma DJR Micro" w:cstheme="minorHAnsi"/>
        </w:rPr>
        <w:t xml:space="preserve"> Apogee Group’s Code of Conduct requires that all aspects of the business be conducted with honesty, integrity and transparency and this is imbedded within the Group’s taxation strategy. </w:t>
      </w:r>
    </w:p>
    <w:p w14:paraId="74924658"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p>
    <w:p w14:paraId="2AA189CB"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Apogee Group considers the publication of this strategy as complying with its obligations of paragraph 16(2) Schedule 19 Finance Act 2016.</w:t>
      </w:r>
    </w:p>
    <w:p w14:paraId="122FF2E9"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p>
    <w:p w14:paraId="54869708"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This document has been approved by the Board of Directors of Apogee Group.</w:t>
      </w:r>
    </w:p>
    <w:p w14:paraId="4A5CE533" w14:textId="77777777" w:rsidR="005A04D1" w:rsidRPr="00054960" w:rsidRDefault="005A04D1" w:rsidP="005A04D1">
      <w:pPr>
        <w:rPr>
          <w:rFonts w:ascii="Forma DJR Micro" w:hAnsi="Forma DJR Micro" w:cstheme="minorHAnsi"/>
        </w:rPr>
      </w:pPr>
    </w:p>
    <w:p w14:paraId="68D1A074" w14:textId="77777777" w:rsidR="005A04D1" w:rsidRPr="00054960" w:rsidRDefault="005A04D1" w:rsidP="005A04D1">
      <w:pPr>
        <w:rPr>
          <w:rFonts w:ascii="Forma DJR Micro" w:hAnsi="Forma DJR Micro" w:cstheme="minorHAnsi"/>
          <w:b/>
        </w:rPr>
      </w:pPr>
      <w:r w:rsidRPr="00054960">
        <w:rPr>
          <w:rFonts w:ascii="Forma DJR Micro" w:hAnsi="Forma DJR Micro" w:cstheme="minorHAnsi"/>
          <w:b/>
        </w:rPr>
        <w:t>Approach to tax risk management and governance arrangements</w:t>
      </w:r>
    </w:p>
    <w:p w14:paraId="4D05748E" w14:textId="42F9DAD4" w:rsidR="005A04D1" w:rsidRPr="00054960" w:rsidRDefault="005A04D1" w:rsidP="005A04D1">
      <w:pPr>
        <w:rPr>
          <w:rFonts w:ascii="Forma DJR Micro" w:hAnsi="Forma DJR Micro" w:cstheme="minorHAnsi"/>
        </w:rPr>
      </w:pPr>
      <w:r w:rsidRPr="00054960">
        <w:rPr>
          <w:rFonts w:ascii="Forma DJR Micro" w:hAnsi="Forma DJR Micro" w:cstheme="minorHAnsi"/>
        </w:rPr>
        <w:t>Apogee Group aims to ensure that all tax reporting</w:t>
      </w:r>
      <w:r w:rsidR="007E5713" w:rsidRPr="00054960">
        <w:rPr>
          <w:rFonts w:ascii="Forma DJR Micro" w:hAnsi="Forma DJR Micro" w:cstheme="minorHAnsi"/>
        </w:rPr>
        <w:t xml:space="preserve"> in the UK and beyond</w:t>
      </w:r>
      <w:r w:rsidRPr="00054960">
        <w:rPr>
          <w:rFonts w:ascii="Forma DJR Micro" w:hAnsi="Forma DJR Micro" w:cstheme="minorHAnsi"/>
        </w:rPr>
        <w:t xml:space="preserve"> is transparent, justifiable to the relevant taxation authorities and aligned with the Group’s overall business strategy. </w:t>
      </w:r>
    </w:p>
    <w:p w14:paraId="6555536F" w14:textId="2AF87CED" w:rsidR="005A04D1" w:rsidRPr="00054960" w:rsidRDefault="005A04D1" w:rsidP="005A04D1">
      <w:pPr>
        <w:rPr>
          <w:rFonts w:ascii="Forma DJR Micro" w:hAnsi="Forma DJR Micro" w:cstheme="minorHAnsi"/>
        </w:rPr>
      </w:pPr>
      <w:r w:rsidRPr="00054960">
        <w:rPr>
          <w:rFonts w:ascii="Forma DJR Micro" w:hAnsi="Forma DJR Micro" w:cstheme="minorHAnsi"/>
        </w:rPr>
        <w:t>Corporation tax compliance for all entities in the Group is outsourced to external advisors. All other taxes are dealt with by Apogee’s UK finance team. Guidance and support on all</w:t>
      </w:r>
      <w:r w:rsidR="00052AEA" w:rsidRPr="00054960">
        <w:rPr>
          <w:rFonts w:ascii="Forma DJR Micro" w:hAnsi="Forma DJR Micro" w:cstheme="minorHAnsi"/>
        </w:rPr>
        <w:t xml:space="preserve"> local and international</w:t>
      </w:r>
      <w:r w:rsidRPr="00054960">
        <w:rPr>
          <w:rFonts w:ascii="Forma DJR Micro" w:hAnsi="Forma DJR Micro" w:cstheme="minorHAnsi"/>
        </w:rPr>
        <w:t xml:space="preserve"> tax technical matters is always sought from external qualified advisors where tax laws are unclear or subject to interpretation. </w:t>
      </w:r>
    </w:p>
    <w:p w14:paraId="156EC017" w14:textId="1F2D677D" w:rsidR="005A04D1" w:rsidRPr="00054960" w:rsidRDefault="005A04D1" w:rsidP="005A04D1">
      <w:pPr>
        <w:rPr>
          <w:rFonts w:ascii="Forma DJR Micro" w:hAnsi="Forma DJR Micro"/>
        </w:rPr>
      </w:pPr>
      <w:r w:rsidRPr="00054960">
        <w:rPr>
          <w:rFonts w:ascii="Forma DJR Micro" w:hAnsi="Forma DJR Micro"/>
        </w:rPr>
        <w:t>Apogee Group’s appetite for tax risk is low. The UK finance team is responsible for the identification and monitoring of tax risk. Any identified issues are then escalated to the Board of Directors if necessary. The UK Board of Directors provides oversight in ensuring that tax is considered within the wider context of the business.</w:t>
      </w:r>
    </w:p>
    <w:p w14:paraId="54CBE202" w14:textId="77777777" w:rsidR="005A04D1" w:rsidRPr="00054960" w:rsidRDefault="005A04D1" w:rsidP="005A04D1">
      <w:pPr>
        <w:rPr>
          <w:rFonts w:ascii="Forma DJR Micro" w:hAnsi="Forma DJR Micro" w:cstheme="minorHAnsi"/>
        </w:rPr>
      </w:pPr>
      <w:r w:rsidRPr="00054960">
        <w:rPr>
          <w:rFonts w:ascii="Forma DJR Micro" w:hAnsi="Forma DJR Micro" w:cstheme="minorHAnsi"/>
        </w:rPr>
        <w:t xml:space="preserve">Apogee Group falls within the Senior Accounting Officer regime in the period which ensures that the Group establishes and maintains appropriate tax accounting procedures. </w:t>
      </w:r>
    </w:p>
    <w:p w14:paraId="2CAA54A6" w14:textId="77777777" w:rsidR="005A04D1" w:rsidRPr="00054960" w:rsidRDefault="005A04D1" w:rsidP="005A04D1">
      <w:pPr>
        <w:rPr>
          <w:rFonts w:ascii="Forma DJR Micro" w:hAnsi="Forma DJR Micro" w:cstheme="minorHAnsi"/>
          <w:b/>
        </w:rPr>
      </w:pPr>
    </w:p>
    <w:p w14:paraId="1D7E29B1" w14:textId="77777777" w:rsidR="005A04D1" w:rsidRPr="00054960" w:rsidRDefault="005A04D1" w:rsidP="005A04D1">
      <w:pPr>
        <w:rPr>
          <w:rFonts w:ascii="Forma DJR Micro" w:hAnsi="Forma DJR Micro" w:cstheme="minorHAnsi"/>
          <w:b/>
        </w:rPr>
      </w:pPr>
      <w:r w:rsidRPr="00054960">
        <w:rPr>
          <w:rFonts w:ascii="Forma DJR Micro" w:hAnsi="Forma DJR Micro" w:cstheme="minorHAnsi"/>
          <w:b/>
        </w:rPr>
        <w:t>Attitude towards tax planning</w:t>
      </w:r>
    </w:p>
    <w:p w14:paraId="0C12266C" w14:textId="0F1D65B2"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Apogee Group aims to manage its tax affairs in a tax efficient manner</w:t>
      </w:r>
      <w:r w:rsidR="00323A3F" w:rsidRPr="00054960">
        <w:rPr>
          <w:rFonts w:ascii="Forma DJR Micro" w:hAnsi="Forma DJR Micro" w:cstheme="minorHAnsi"/>
        </w:rPr>
        <w:t xml:space="preserve"> </w:t>
      </w:r>
      <w:r w:rsidR="00A327D3" w:rsidRPr="00054960">
        <w:rPr>
          <w:rFonts w:ascii="Forma DJR Micro" w:hAnsi="Forma DJR Micro" w:cstheme="minorHAnsi"/>
        </w:rPr>
        <w:t>in accordance with</w:t>
      </w:r>
      <w:r w:rsidR="00A864AE" w:rsidRPr="00054960">
        <w:rPr>
          <w:rFonts w:ascii="Forma DJR Micro" w:hAnsi="Forma DJR Micro" w:cstheme="minorHAnsi"/>
        </w:rPr>
        <w:t xml:space="preserve"> </w:t>
      </w:r>
      <w:r w:rsidR="004B4A5A" w:rsidRPr="00054960">
        <w:rPr>
          <w:rFonts w:ascii="Forma DJR Micro" w:hAnsi="Forma DJR Micro" w:cstheme="minorHAnsi"/>
        </w:rPr>
        <w:t xml:space="preserve">the </w:t>
      </w:r>
      <w:r w:rsidR="00323A3F" w:rsidRPr="00054960">
        <w:rPr>
          <w:rFonts w:ascii="Forma DJR Micro" w:hAnsi="Forma DJR Micro" w:cstheme="minorHAnsi"/>
        </w:rPr>
        <w:t>rules set by the UK</w:t>
      </w:r>
      <w:r w:rsidR="004A5FE0" w:rsidRPr="00054960">
        <w:rPr>
          <w:rFonts w:ascii="Forma DJR Micro" w:hAnsi="Forma DJR Micro" w:cstheme="minorHAnsi"/>
        </w:rPr>
        <w:t xml:space="preserve"> and </w:t>
      </w:r>
      <w:r w:rsidR="00EE44C6" w:rsidRPr="00054960">
        <w:rPr>
          <w:rFonts w:ascii="Forma DJR Micro" w:hAnsi="Forma DJR Micro" w:cstheme="minorHAnsi"/>
        </w:rPr>
        <w:t>foreign governments</w:t>
      </w:r>
    </w:p>
    <w:p w14:paraId="2F58BCC6"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p>
    <w:p w14:paraId="7A4ED2F7" w14:textId="77777777" w:rsidR="005A04D1" w:rsidRPr="00054960" w:rsidRDefault="005A04D1" w:rsidP="005A04D1">
      <w:pPr>
        <w:rPr>
          <w:rFonts w:ascii="Forma DJR Micro" w:hAnsi="Forma DJR Micro"/>
        </w:rPr>
      </w:pPr>
      <w:r w:rsidRPr="00054960">
        <w:rPr>
          <w:rFonts w:ascii="Forma DJR Micro" w:hAnsi="Forma DJR Micro"/>
        </w:rPr>
        <w:t xml:space="preserve">Within the UK, Apogee utilises relevant tax reliefs to reduce the tax costs of its business activities. These reliefs are applied in the </w:t>
      </w:r>
      <w:proofErr w:type="gramStart"/>
      <w:r w:rsidRPr="00054960">
        <w:rPr>
          <w:rFonts w:ascii="Forma DJR Micro" w:hAnsi="Forma DJR Micro"/>
        </w:rPr>
        <w:t>manner in which</w:t>
      </w:r>
      <w:proofErr w:type="gramEnd"/>
      <w:r w:rsidRPr="00054960">
        <w:rPr>
          <w:rFonts w:ascii="Forma DJR Micro" w:hAnsi="Forma DJR Micro"/>
        </w:rPr>
        <w:t xml:space="preserve"> HMRC intended them to be used.</w:t>
      </w:r>
    </w:p>
    <w:p w14:paraId="31DD9B33" w14:textId="77777777" w:rsidR="007A2F14" w:rsidRDefault="007A2F14" w:rsidP="005A04D1">
      <w:pPr>
        <w:rPr>
          <w:rFonts w:ascii="Forma DJR Micro" w:hAnsi="Forma DJR Micro" w:cstheme="minorHAnsi"/>
          <w:b/>
        </w:rPr>
      </w:pPr>
    </w:p>
    <w:p w14:paraId="23C2FF6F" w14:textId="4744B4EC" w:rsidR="005A04D1" w:rsidRPr="00054960" w:rsidRDefault="005A04D1" w:rsidP="005A04D1">
      <w:pPr>
        <w:rPr>
          <w:rFonts w:ascii="Forma DJR Micro" w:hAnsi="Forma DJR Micro" w:cstheme="minorHAnsi"/>
          <w:b/>
        </w:rPr>
      </w:pPr>
      <w:r w:rsidRPr="00054960">
        <w:rPr>
          <w:rFonts w:ascii="Forma DJR Micro" w:hAnsi="Forma DJR Micro" w:cstheme="minorHAnsi"/>
          <w:b/>
        </w:rPr>
        <w:lastRenderedPageBreak/>
        <w:t>Relationship with HMRC</w:t>
      </w:r>
    </w:p>
    <w:p w14:paraId="0ACE1D38" w14:textId="13DE9419"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It is Apogee Group’s aim to be transparent and proactive in dealings with</w:t>
      </w:r>
      <w:r w:rsidR="00F00134" w:rsidRPr="00054960">
        <w:rPr>
          <w:rFonts w:ascii="Forma DJR Micro" w:hAnsi="Forma DJR Micro" w:cstheme="minorHAnsi"/>
        </w:rPr>
        <w:t xml:space="preserve"> tax authorities</w:t>
      </w:r>
      <w:r w:rsidRPr="00054960">
        <w:rPr>
          <w:rFonts w:ascii="Forma DJR Micro" w:hAnsi="Forma DJR Micro" w:cstheme="minorHAnsi"/>
        </w:rPr>
        <w:t xml:space="preserve"> </w:t>
      </w:r>
      <w:r w:rsidR="00FA2103" w:rsidRPr="00054960">
        <w:rPr>
          <w:rFonts w:ascii="Forma DJR Micro" w:hAnsi="Forma DJR Micro" w:cstheme="minorHAnsi"/>
        </w:rPr>
        <w:t xml:space="preserve">(including </w:t>
      </w:r>
      <w:r w:rsidRPr="00054960">
        <w:rPr>
          <w:rFonts w:ascii="Forma DJR Micro" w:hAnsi="Forma DJR Micro" w:cstheme="minorHAnsi"/>
        </w:rPr>
        <w:t>HMRC</w:t>
      </w:r>
      <w:r w:rsidR="00FA2103" w:rsidRPr="00054960">
        <w:rPr>
          <w:rFonts w:ascii="Forma DJR Micro" w:hAnsi="Forma DJR Micro" w:cstheme="minorHAnsi"/>
        </w:rPr>
        <w:t>)</w:t>
      </w:r>
      <w:r w:rsidRPr="00054960">
        <w:rPr>
          <w:rFonts w:ascii="Forma DJR Micro" w:hAnsi="Forma DJR Micro" w:cstheme="minorHAnsi"/>
        </w:rPr>
        <w:t xml:space="preserve"> through regular communications wherever necessary. All dealings with HMRC are conducted in a professional manner which is in line with the Group’s Code of Conduct.</w:t>
      </w:r>
    </w:p>
    <w:p w14:paraId="2043A34B"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p>
    <w:p w14:paraId="3E16D19E" w14:textId="3D089C5E" w:rsidR="00B5113B"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 xml:space="preserve">Occasionally there may be differing interpretations of the tax legislation but, in the </w:t>
      </w:r>
      <w:proofErr w:type="gramStart"/>
      <w:r w:rsidRPr="00054960">
        <w:rPr>
          <w:rFonts w:ascii="Forma DJR Micro" w:hAnsi="Forma DJR Micro" w:cstheme="minorHAnsi"/>
        </w:rPr>
        <w:t>event</w:t>
      </w:r>
      <w:proofErr w:type="gramEnd"/>
      <w:r w:rsidRPr="00054960">
        <w:rPr>
          <w:rFonts w:ascii="Forma DJR Micro" w:hAnsi="Forma DJR Micro" w:cstheme="minorHAnsi"/>
        </w:rPr>
        <w:t xml:space="preserve"> this would arise, HMRC would be engaged in discussions, together with external advisors, to resolve the matter promptly.</w:t>
      </w:r>
    </w:p>
    <w:p w14:paraId="5885AE91" w14:textId="77777777" w:rsidR="00436C29" w:rsidRDefault="00436C29" w:rsidP="005A04D1">
      <w:pPr>
        <w:autoSpaceDE w:val="0"/>
        <w:autoSpaceDN w:val="0"/>
        <w:adjustRightInd w:val="0"/>
        <w:spacing w:after="0" w:line="240" w:lineRule="auto"/>
        <w:rPr>
          <w:rFonts w:ascii="Forma DJR Micro" w:hAnsi="Forma DJR Micro" w:cstheme="minorHAnsi"/>
        </w:rPr>
      </w:pPr>
    </w:p>
    <w:p w14:paraId="1F0FC665" w14:textId="24547E80" w:rsidR="005A04D1" w:rsidRPr="00054960" w:rsidRDefault="005A04D1" w:rsidP="005A04D1">
      <w:pPr>
        <w:autoSpaceDE w:val="0"/>
        <w:autoSpaceDN w:val="0"/>
        <w:adjustRightInd w:val="0"/>
        <w:spacing w:after="0" w:line="240" w:lineRule="auto"/>
        <w:rPr>
          <w:rFonts w:ascii="Forma DJR Micro" w:hAnsi="Forma DJR Micro" w:cstheme="minorHAnsi"/>
        </w:rPr>
      </w:pPr>
      <w:r w:rsidRPr="00054960">
        <w:rPr>
          <w:rFonts w:ascii="Forma DJR Micro" w:hAnsi="Forma DJR Micro" w:cstheme="minorHAnsi"/>
        </w:rPr>
        <w:t>In the event of any investigation from HMRC, all entities within the Apogee Group will cooperate fully to ensure that the investigation is dealt with in a timely manner.</w:t>
      </w:r>
    </w:p>
    <w:p w14:paraId="3B3ADB52" w14:textId="77777777" w:rsidR="005A04D1" w:rsidRPr="00054960" w:rsidRDefault="005A04D1" w:rsidP="005A04D1">
      <w:pPr>
        <w:autoSpaceDE w:val="0"/>
        <w:autoSpaceDN w:val="0"/>
        <w:adjustRightInd w:val="0"/>
        <w:spacing w:after="0" w:line="240" w:lineRule="auto"/>
        <w:rPr>
          <w:rFonts w:ascii="Forma DJR Micro" w:hAnsi="Forma DJR Micro" w:cstheme="minorHAnsi"/>
        </w:rPr>
      </w:pPr>
    </w:p>
    <w:p w14:paraId="65DEA253" w14:textId="77777777" w:rsidR="00DC194F" w:rsidRPr="00054960" w:rsidRDefault="00DC194F" w:rsidP="002177E2">
      <w:pPr>
        <w:rPr>
          <w:rFonts w:ascii="Forma DJR Micro" w:hAnsi="Forma DJR Micro" w:cstheme="majorHAnsi"/>
        </w:rPr>
      </w:pPr>
    </w:p>
    <w:sectPr w:rsidR="00DC194F" w:rsidRPr="00054960" w:rsidSect="00F029A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0123" w14:textId="77777777" w:rsidR="005D7AFE" w:rsidRDefault="005D7AFE" w:rsidP="002177E2">
      <w:pPr>
        <w:spacing w:after="0" w:line="240" w:lineRule="auto"/>
      </w:pPr>
      <w:r>
        <w:separator/>
      </w:r>
    </w:p>
  </w:endnote>
  <w:endnote w:type="continuationSeparator" w:id="0">
    <w:p w14:paraId="442AE0B9" w14:textId="77777777" w:rsidR="005D7AFE" w:rsidRDefault="005D7AFE" w:rsidP="0021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TWYM B+ Agfa Rotis Semi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rma DJR Micro">
    <w:panose1 w:val="00000000000000090000"/>
    <w:charset w:val="00"/>
    <w:family w:val="auto"/>
    <w:pitch w:val="variable"/>
    <w:sig w:usb0="A00000FF" w:usb1="1000A04B" w:usb2="00000000" w:usb3="00000000" w:csb0="00000193" w:csb1="00000000"/>
  </w:font>
  <w:font w:name="HP Simplified">
    <w:altName w:val="Calibri"/>
    <w:charset w:val="00"/>
    <w:family w:val="swiss"/>
    <w:pitch w:val="variable"/>
    <w:sig w:usb0="A00000AF" w:usb1="5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9B28" w14:textId="77777777" w:rsidR="005414F7" w:rsidRPr="00DC194F" w:rsidRDefault="00DC194F" w:rsidP="00DC194F">
    <w:pPr>
      <w:pStyle w:val="BodyText"/>
      <w:spacing w:before="76"/>
      <w:rPr>
        <w:rFonts w:ascii="HP Simplified" w:hAnsi="HP Simplified" w:cstheme="minorBidi"/>
        <w:color w:val="009ACF"/>
        <w:sz w:val="2"/>
      </w:rPr>
    </w:pPr>
    <w:r w:rsidRPr="0040708F">
      <w:rPr>
        <w:noProof/>
        <w:sz w:val="10"/>
        <w:lang w:val="en-GB" w:eastAsia="en-GB"/>
      </w:rPr>
      <mc:AlternateContent>
        <mc:Choice Requires="wps">
          <w:drawing>
            <wp:anchor distT="0" distB="0" distL="114300" distR="114300" simplePos="0" relativeHeight="251673600" behindDoc="0" locked="0" layoutInCell="1" allowOverlap="1" wp14:anchorId="3CCCC8D2" wp14:editId="1740E97F">
              <wp:simplePos x="0" y="0"/>
              <wp:positionH relativeFrom="margin">
                <wp:posOffset>5771211</wp:posOffset>
              </wp:positionH>
              <wp:positionV relativeFrom="paragraph">
                <wp:posOffset>-5080</wp:posOffset>
              </wp:positionV>
              <wp:extent cx="500380" cy="2063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06375"/>
                      </a:xfrm>
                      <a:prstGeom prst="rect">
                        <a:avLst/>
                      </a:prstGeom>
                      <a:noFill/>
                      <a:ln>
                        <a:noFill/>
                      </a:ln>
                    </wps:spPr>
                    <wps:txbx>
                      <w:txbxContent>
                        <w:p w14:paraId="115CEC30" w14:textId="77777777" w:rsidR="00DC194F" w:rsidRPr="0040708F" w:rsidRDefault="00DC194F" w:rsidP="00DC194F">
                          <w:pPr>
                            <w:spacing w:after="0" w:line="240" w:lineRule="auto"/>
                            <w:jc w:val="right"/>
                            <w:rPr>
                              <w:rFonts w:ascii="HP Simplified" w:hAnsi="HP Simplified"/>
                              <w:color w:val="009ACF"/>
                              <w:sz w:val="18"/>
                              <w:szCs w:val="15"/>
                            </w:rPr>
                          </w:pPr>
                          <w:r>
                            <w:rPr>
                              <w:rFonts w:ascii="HP Simplified" w:hAnsi="HP Simplified"/>
                              <w:color w:val="009ACF"/>
                              <w:sz w:val="18"/>
                              <w:szCs w:val="15"/>
                            </w:rPr>
                            <w:fldChar w:fldCharType="begin"/>
                          </w:r>
                          <w:r>
                            <w:rPr>
                              <w:rFonts w:ascii="HP Simplified" w:hAnsi="HP Simplified"/>
                              <w:color w:val="009ACF"/>
                              <w:sz w:val="18"/>
                              <w:szCs w:val="15"/>
                            </w:rPr>
                            <w:instrText xml:space="preserve"> PAGE  \* Arabic  \* MERGEFORMAT </w:instrText>
                          </w:r>
                          <w:r>
                            <w:rPr>
                              <w:rFonts w:ascii="HP Simplified" w:hAnsi="HP Simplified"/>
                              <w:color w:val="009ACF"/>
                              <w:sz w:val="18"/>
                              <w:szCs w:val="15"/>
                            </w:rPr>
                            <w:fldChar w:fldCharType="separate"/>
                          </w:r>
                          <w:r w:rsidR="00396BBD">
                            <w:rPr>
                              <w:rFonts w:ascii="HP Simplified" w:hAnsi="HP Simplified"/>
                              <w:noProof/>
                              <w:color w:val="009ACF"/>
                              <w:sz w:val="18"/>
                              <w:szCs w:val="15"/>
                            </w:rPr>
                            <w:t>2</w:t>
                          </w:r>
                          <w:r>
                            <w:rPr>
                              <w:rFonts w:ascii="HP Simplified" w:hAnsi="HP Simplified"/>
                              <w:color w:val="009ACF"/>
                              <w:sz w:val="18"/>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CC8D2" id="_x0000_t202" coordsize="21600,21600" o:spt="202" path="m,l,21600r21600,l21600,xe">
              <v:stroke joinstyle="miter"/>
              <v:path gradientshapeok="t" o:connecttype="rect"/>
            </v:shapetype>
            <v:shape id="Text Box 4" o:spid="_x0000_s1026" type="#_x0000_t202" style="position:absolute;margin-left:454.45pt;margin-top:-.4pt;width:39.4pt;height:16.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k53wEAAKADAAAOAAAAZHJzL2Uyb0RvYy54bWysU9tu2zAMfR+wfxD0vthJk7Yz4hRdiw4D&#10;ugvQ7QNkWYqN2aJGKrGzrx8lp2m2vQ17ESSSPjznkF7fjH0n9gapBVfK+SyXwjgNdeu2pfz29eHN&#10;tRQUlKtVB86U8mBI3mxev1oPvjALaKCrDQoGcVQMvpRNCL7IMtKN6RXNwBvHSQvYq8BP3GY1qoHR&#10;+y5b5PllNgDWHkEbIo7eT0m5SfjWGh0+W0smiK6UzC2kE9NZxTPbrFWxReWbVh9pqH9g0avWcdMT&#10;1L0KSuyw/QuqbzUCgQ0zDX0G1rbaJA2sZp7/oeapUd4kLWwO+ZNN9P9g9af9k/+CIozvYOQBJhHk&#10;H0F/J+HgrlFua24RYWiMqrnxPFqWDZ6K46fRaiooglTDR6h5yGoXIAGNFvvoCusUjM4DOJxMN2MQ&#10;moOrPL+45ozm1CK/vLhapQ6qeP7YI4X3BnoRL6VEnmkCV/tHCpGMKp5LYi8HD23Xpbl27rcAF8ZI&#10;Ih/5TszDWI1cHUVUUB9YBsK0JrzWfGkAf0ox8IqUkn7sFBopug+OrXg7Xy7jTqXHcnW14AeeZ6rz&#10;jHKaoUoZpJiud2Haw53Hdttwp8l8B7dsn22TtBdWR968BknxcWXjnp2/U9XLj7X5BQAA//8DAFBL&#10;AwQUAAYACAAAACEApItW4dwAAAAIAQAADwAAAGRycy9kb3ducmV2LnhtbEyPzU7DMBCE70h9B2uR&#10;uFG7FMgP2VSoiCuIApV6c+NtEjVeR7HbhLfHPcFxNKOZb4rVZDtxpsG3jhEWcwWCuHKm5Rrh6/P1&#10;NgXhg2ajO8eE8EMeVuXsqtC5cSN/0HkTahFL2OcaoQmhz6X0VUNW+7nriaN3cIPVIcqhlmbQYyy3&#10;nbxT6lFa3XJcaHRP64aq4+ZkEb7fDrvtvXqvX+xDP7pJSbaZRLy5np6fQASawl8YLvgRHcrItHcn&#10;Nl50CJlKsxhFuDyIfpYmCYg9wnKRgCwL+f9A+QsAAP//AwBQSwECLQAUAAYACAAAACEAtoM4kv4A&#10;AADhAQAAEwAAAAAAAAAAAAAAAAAAAAAAW0NvbnRlbnRfVHlwZXNdLnhtbFBLAQItABQABgAIAAAA&#10;IQA4/SH/1gAAAJQBAAALAAAAAAAAAAAAAAAAAC8BAABfcmVscy8ucmVsc1BLAQItABQABgAIAAAA&#10;IQDBXIk53wEAAKADAAAOAAAAAAAAAAAAAAAAAC4CAABkcnMvZTJvRG9jLnhtbFBLAQItABQABgAI&#10;AAAAIQCki1bh3AAAAAgBAAAPAAAAAAAAAAAAAAAAADkEAABkcnMvZG93bnJldi54bWxQSwUGAAAA&#10;AAQABADzAAAAQgUAAAAA&#10;" filled="f" stroked="f">
              <v:textbox>
                <w:txbxContent>
                  <w:p w14:paraId="115CEC30" w14:textId="77777777" w:rsidR="00DC194F" w:rsidRPr="0040708F" w:rsidRDefault="00DC194F" w:rsidP="00DC194F">
                    <w:pPr>
                      <w:spacing w:after="0" w:line="240" w:lineRule="auto"/>
                      <w:jc w:val="right"/>
                      <w:rPr>
                        <w:rFonts w:ascii="HP Simplified" w:hAnsi="HP Simplified"/>
                        <w:color w:val="009ACF"/>
                        <w:sz w:val="18"/>
                        <w:szCs w:val="15"/>
                      </w:rPr>
                    </w:pPr>
                    <w:r>
                      <w:rPr>
                        <w:rFonts w:ascii="HP Simplified" w:hAnsi="HP Simplified"/>
                        <w:color w:val="009ACF"/>
                        <w:sz w:val="18"/>
                        <w:szCs w:val="15"/>
                      </w:rPr>
                      <w:fldChar w:fldCharType="begin"/>
                    </w:r>
                    <w:r>
                      <w:rPr>
                        <w:rFonts w:ascii="HP Simplified" w:hAnsi="HP Simplified"/>
                        <w:color w:val="009ACF"/>
                        <w:sz w:val="18"/>
                        <w:szCs w:val="15"/>
                      </w:rPr>
                      <w:instrText xml:space="preserve"> PAGE  \* Arabic  \* MERGEFORMAT </w:instrText>
                    </w:r>
                    <w:r>
                      <w:rPr>
                        <w:rFonts w:ascii="HP Simplified" w:hAnsi="HP Simplified"/>
                        <w:color w:val="009ACF"/>
                        <w:sz w:val="18"/>
                        <w:szCs w:val="15"/>
                      </w:rPr>
                      <w:fldChar w:fldCharType="separate"/>
                    </w:r>
                    <w:r w:rsidR="00396BBD">
                      <w:rPr>
                        <w:rFonts w:ascii="HP Simplified" w:hAnsi="HP Simplified"/>
                        <w:noProof/>
                        <w:color w:val="009ACF"/>
                        <w:sz w:val="18"/>
                        <w:szCs w:val="15"/>
                      </w:rPr>
                      <w:t>2</w:t>
                    </w:r>
                    <w:r>
                      <w:rPr>
                        <w:rFonts w:ascii="HP Simplified" w:hAnsi="HP Simplified"/>
                        <w:color w:val="009ACF"/>
                        <w:sz w:val="18"/>
                        <w:szCs w:val="15"/>
                      </w:rPr>
                      <w:fldChar w:fldCharType="end"/>
                    </w:r>
                  </w:p>
                </w:txbxContent>
              </v:textbox>
              <w10:wrap anchorx="margin"/>
            </v:shape>
          </w:pict>
        </mc:Fallback>
      </mc:AlternateContent>
    </w:r>
    <w:r w:rsidRPr="0040708F">
      <w:rPr>
        <w:noProof/>
        <w:color w:val="231F20"/>
        <w:sz w:val="10"/>
        <w:lang w:val="en-GB" w:eastAsia="en-GB"/>
      </w:rPr>
      <mc:AlternateContent>
        <mc:Choice Requires="wps">
          <w:drawing>
            <wp:anchor distT="0" distB="0" distL="114300" distR="114300" simplePos="0" relativeHeight="251672576" behindDoc="0" locked="0" layoutInCell="1" allowOverlap="1" wp14:anchorId="304A725F" wp14:editId="33127A0F">
              <wp:simplePos x="0" y="0"/>
              <wp:positionH relativeFrom="margin">
                <wp:posOffset>-1988</wp:posOffset>
              </wp:positionH>
              <wp:positionV relativeFrom="paragraph">
                <wp:posOffset>21949</wp:posOffset>
              </wp:positionV>
              <wp:extent cx="6193155" cy="0"/>
              <wp:effectExtent l="0" t="0" r="36195" b="19050"/>
              <wp:wrapNone/>
              <wp:docPr id="5" name="Straight Connector 5"/>
              <wp:cNvGraphicFramePr/>
              <a:graphic xmlns:a="http://schemas.openxmlformats.org/drawingml/2006/main">
                <a:graphicData uri="http://schemas.microsoft.com/office/word/2010/wordprocessingShape">
                  <wps:wsp>
                    <wps:cNvCnPr/>
                    <wps:spPr>
                      <a:xfrm>
                        <a:off x="0" y="0"/>
                        <a:ext cx="6193155" cy="0"/>
                      </a:xfrm>
                      <a:prstGeom prst="line">
                        <a:avLst/>
                      </a:prstGeom>
                      <a:ln w="12700">
                        <a:solidFill>
                          <a:srgbClr val="009AC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923D3" id="Straight Connector 5"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1.75pt" to="4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U0wQEAAN8DAAAOAAAAZHJzL2Uyb0RvYy54bWysU8tu2zAQvAfoPxC815Ic5CVYDgIH7qVo&#10;g7T9AJpaWgT4Asla8t93Scly0BYBEuRCkcud2dnhanU/aEUO4IO0pqHVoqQEDLetNPuG/vq5/XxL&#10;SYjMtExZAw09QqD3608Xq97VsLSdVS14giQm1L1raBejq4si8A40CwvrwOClsF6ziEe/L1rPemTX&#10;qliW5XXRW986bzmEgNHH8ZKuM78QwON3IQJEohqK2mJefV53aS3WK1bvPXOd5JMM9g4VmkmDRWeq&#10;RxYZ+e3lP1Racm+DFXHBrS6sEJJD7gG7qcq/uvnRMQe5FzQnuNmm8HG0/NthY5482tC7UAf35FMX&#10;g/A6fVEfGbJZx9ksGCLhGLyu7i6rqytK+OmuOAOdD/ELWE3SpqFKmtQHq9nha4hYDFNPKSmsDOlx&#10;epY3ZZnTglWy3Uql0mXw+91GeXJg6Q3Lu4fNNj0bUrxIw5MyGDx3kXfxqGAs8AyCyBZ1V2OFNGAw&#10;0zLOwcRq4lUGsxNMoIQZOEl7DTjlJyjk4XsLeEbkytbEGaylsf5/suNwkizG/JMDY9/Jgp1tj/l9&#10;szU4Rdm5aeLTmL48Z/j5v1z/AQAA//8DAFBLAwQUAAYACAAAACEAg2gkm9cAAAAFAQAADwAAAGRy&#10;cy9kb3ducmV2LnhtbEyPwW7CMBBE75X6D9YicQObIjBN46Cqoh8A5QNMvE1S4nUUOyT8fbe9tMfR&#10;jGbe5PvJt+KGfWwCGVgtFQikMriGKgPnj/fFDkRMlpxtA6GBO0bYF48Puc1cGOmIt1OqBJdQzKyB&#10;OqUukzKWNXobl6FDYu8z9N4mln0lXW9HLvetfFJqK71tiBdq2+FbjeX1NHgDxyadB+126qrcfTzo&#10;UX9tpTZmPpteX0AknNJfGH7wGR0KZrqEgVwUrYHFmoMG1hsQ7D7rDT+7/GpZ5PI/ffENAAD//wMA&#10;UEsBAi0AFAAGAAgAAAAhALaDOJL+AAAA4QEAABMAAAAAAAAAAAAAAAAAAAAAAFtDb250ZW50X1R5&#10;cGVzXS54bWxQSwECLQAUAAYACAAAACEAOP0h/9YAAACUAQAACwAAAAAAAAAAAAAAAAAvAQAAX3Jl&#10;bHMvLnJlbHNQSwECLQAUAAYACAAAACEAtZBFNMEBAADfAwAADgAAAAAAAAAAAAAAAAAuAgAAZHJz&#10;L2Uyb0RvYy54bWxQSwECLQAUAAYACAAAACEAg2gkm9cAAAAFAQAADwAAAAAAAAAAAAAAAAAbBAAA&#10;ZHJzL2Rvd25yZXYueG1sUEsFBgAAAAAEAAQA8wAAAB8FAAAAAA==&#10;" strokecolor="#009acf" strokeweight="1pt">
              <v:stroke joinstyle="miter"/>
              <w10:wrap anchorx="margin"/>
            </v:line>
          </w:pict>
        </mc:Fallback>
      </mc:AlternateContent>
    </w:r>
    <w:r>
      <w:rPr>
        <w:rFonts w:ascii="HP Simplified" w:hAnsi="HP Simplified"/>
        <w:noProof/>
        <w:color w:val="009ACF"/>
        <w:sz w:val="14"/>
        <w:lang w:eastAsia="en-GB"/>
      </w:rPr>
      <w:t>Document Name / Section Heading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9B95" w14:textId="6F14D2AB" w:rsidR="002177E2" w:rsidRPr="0040708F" w:rsidRDefault="009305F9" w:rsidP="005750E3">
    <w:pPr>
      <w:pStyle w:val="BodyText"/>
      <w:spacing w:before="76"/>
      <w:rPr>
        <w:rFonts w:ascii="HP Simplified" w:hAnsi="HP Simplified" w:cstheme="minorBidi"/>
        <w:color w:val="009ACF"/>
        <w:sz w:val="2"/>
      </w:rPr>
    </w:pPr>
    <w:r w:rsidRPr="0040708F">
      <w:rPr>
        <w:noProof/>
        <w:sz w:val="10"/>
        <w:lang w:val="en-GB" w:eastAsia="en-GB"/>
      </w:rPr>
      <mc:AlternateContent>
        <mc:Choice Requires="wps">
          <w:drawing>
            <wp:anchor distT="0" distB="0" distL="114300" distR="114300" simplePos="0" relativeHeight="251670528" behindDoc="0" locked="0" layoutInCell="1" allowOverlap="1" wp14:anchorId="66E1593A" wp14:editId="6E2906B8">
              <wp:simplePos x="0" y="0"/>
              <wp:positionH relativeFrom="margin">
                <wp:posOffset>5941533</wp:posOffset>
              </wp:positionH>
              <wp:positionV relativeFrom="paragraph">
                <wp:posOffset>36195</wp:posOffset>
              </wp:positionV>
              <wp:extent cx="500380" cy="2063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06375"/>
                      </a:xfrm>
                      <a:prstGeom prst="rect">
                        <a:avLst/>
                      </a:prstGeom>
                      <a:noFill/>
                      <a:ln>
                        <a:noFill/>
                      </a:ln>
                    </wps:spPr>
                    <wps:txbx>
                      <w:txbxContent>
                        <w:p w14:paraId="35EBBD40" w14:textId="77777777" w:rsidR="0040708F" w:rsidRPr="0040708F" w:rsidRDefault="00DC194F" w:rsidP="0040708F">
                          <w:pPr>
                            <w:spacing w:after="0" w:line="240" w:lineRule="auto"/>
                            <w:jc w:val="right"/>
                            <w:rPr>
                              <w:rFonts w:ascii="HP Simplified" w:hAnsi="HP Simplified"/>
                              <w:color w:val="009ACF"/>
                              <w:sz w:val="18"/>
                              <w:szCs w:val="15"/>
                            </w:rPr>
                          </w:pPr>
                          <w:r>
                            <w:rPr>
                              <w:rFonts w:ascii="HP Simplified" w:hAnsi="HP Simplified"/>
                              <w:color w:val="009ACF"/>
                              <w:sz w:val="18"/>
                              <w:szCs w:val="15"/>
                            </w:rPr>
                            <w:fldChar w:fldCharType="begin"/>
                          </w:r>
                          <w:r>
                            <w:rPr>
                              <w:rFonts w:ascii="HP Simplified" w:hAnsi="HP Simplified"/>
                              <w:color w:val="009ACF"/>
                              <w:sz w:val="18"/>
                              <w:szCs w:val="15"/>
                            </w:rPr>
                            <w:instrText xml:space="preserve"> PAGE  \* Arabic  \* MERGEFORMAT </w:instrText>
                          </w:r>
                          <w:r>
                            <w:rPr>
                              <w:rFonts w:ascii="HP Simplified" w:hAnsi="HP Simplified"/>
                              <w:color w:val="009ACF"/>
                              <w:sz w:val="18"/>
                              <w:szCs w:val="15"/>
                            </w:rPr>
                            <w:fldChar w:fldCharType="separate"/>
                          </w:r>
                          <w:r w:rsidR="00CE388D">
                            <w:rPr>
                              <w:rFonts w:ascii="HP Simplified" w:hAnsi="HP Simplified"/>
                              <w:noProof/>
                              <w:color w:val="009ACF"/>
                              <w:sz w:val="18"/>
                              <w:szCs w:val="15"/>
                            </w:rPr>
                            <w:t>1</w:t>
                          </w:r>
                          <w:r>
                            <w:rPr>
                              <w:rFonts w:ascii="HP Simplified" w:hAnsi="HP Simplified"/>
                              <w:color w:val="009ACF"/>
                              <w:sz w:val="18"/>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1593A" id="_x0000_t202" coordsize="21600,21600" o:spt="202" path="m,l,21600r21600,l21600,xe">
              <v:stroke joinstyle="miter"/>
              <v:path gradientshapeok="t" o:connecttype="rect"/>
            </v:shapetype>
            <v:shape id="Text Box 3" o:spid="_x0000_s1027" type="#_x0000_t202" style="position:absolute;margin-left:467.85pt;margin-top:2.85pt;width:39.4pt;height:1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zP4gEAAKcDAAAOAAAAZHJzL2Uyb0RvYy54bWysU9tu2zAMfR+wfxD0vthJk7Yz4hRdiw4D&#10;ugvQ7QNkWbKF2aJGKbGzrx8lu2m2vQ17EURSPjznkN7ejH3HDgq9AVvy5SLnTFkJtbFNyb99fXhz&#10;zZkPwtaiA6tKflSe3+xev9oOrlAraKGrFTICsb4YXMnbEFyRZV62qhd+AU5ZKmrAXgQKsclqFAOh&#10;9122yvPLbACsHYJU3lP2firyXcLXWsnwWWuvAutKTtxCOjGdVTyz3VYUDQrXGjnTEP/AohfGUtMT&#10;1L0Igu3R/AXVG4ngQYeFhD4DrY1USQOpWeZ/qHlqhVNJC5nj3ckm//9g5afDk/uCLIzvYKQBJhHe&#10;PYL87pmFu1bYRt0iwtAqUVPjZbQsG5wv5k+j1b7wEaQaPkJNQxb7AAlo1NhHV0gnI3QawPFkuhoD&#10;k5Tc5PnFNVUklVb55cXVJnUQxfPHDn14r6Bn8VJypJkmcHF49CGSEcXzk9jLwoPpujTXzv6WoIcx&#10;k8hHvhPzMFYjM/WsLGqpoD6SGoRpW2i76dIC/uRsoE0puf+xF6g46z5YcuTtcr2Oq5WC9eZqRQGe&#10;V6rzirCSoEoeOJuud2Fax71D07TUaZqBhVtyUZuk8IXVTJ+2IQmfNzeu23mcXr38X7tfAAAA//8D&#10;AFBLAwQUAAYACAAAACEAlDrVeN4AAAAJAQAADwAAAGRycy9kb3ducmV2LnhtbEyPS0/DMBCE70j9&#10;D9ZW4kbtPgJtmk2FQFxBLQ+Jmxtvk6jxOordJvx7nBOcRqsZzXyb7QbbiCt1vnaMMJ8pEMSFMzWX&#10;CB/vL3drED5oNrpxTAg/5GGXT24ynRrX856uh1CKWMI+1QhVCG0qpS8qstrPXEscvZPrrA7x7Epp&#10;Ot3HctvIhVL30uqa40KlW3qqqDgfLhbh8/X0/bVSb+WzTdreDUqy3UjE2+nwuAURaAh/YRjxIzrk&#10;kenoLmy8aBA2y+QhRhFGGX01XyUgjgjL9QJknsn/H+S/AAAA//8DAFBLAQItABQABgAIAAAAIQC2&#10;gziS/gAAAOEBAAATAAAAAAAAAAAAAAAAAAAAAABbQ29udGVudF9UeXBlc10ueG1sUEsBAi0AFAAG&#10;AAgAAAAhADj9If/WAAAAlAEAAAsAAAAAAAAAAAAAAAAALwEAAF9yZWxzLy5yZWxzUEsBAi0AFAAG&#10;AAgAAAAhAEbmDM/iAQAApwMAAA4AAAAAAAAAAAAAAAAALgIAAGRycy9lMm9Eb2MueG1sUEsBAi0A&#10;FAAGAAgAAAAhAJQ61XjeAAAACQEAAA8AAAAAAAAAAAAAAAAAPAQAAGRycy9kb3ducmV2LnhtbFBL&#10;BQYAAAAABAAEAPMAAABHBQAAAAA=&#10;" filled="f" stroked="f">
              <v:textbox>
                <w:txbxContent>
                  <w:p w14:paraId="35EBBD40" w14:textId="77777777" w:rsidR="0040708F" w:rsidRPr="0040708F" w:rsidRDefault="00DC194F" w:rsidP="0040708F">
                    <w:pPr>
                      <w:spacing w:after="0" w:line="240" w:lineRule="auto"/>
                      <w:jc w:val="right"/>
                      <w:rPr>
                        <w:rFonts w:ascii="HP Simplified" w:hAnsi="HP Simplified"/>
                        <w:color w:val="009ACF"/>
                        <w:sz w:val="18"/>
                        <w:szCs w:val="15"/>
                      </w:rPr>
                    </w:pPr>
                    <w:r>
                      <w:rPr>
                        <w:rFonts w:ascii="HP Simplified" w:hAnsi="HP Simplified"/>
                        <w:color w:val="009ACF"/>
                        <w:sz w:val="18"/>
                        <w:szCs w:val="15"/>
                      </w:rPr>
                      <w:fldChar w:fldCharType="begin"/>
                    </w:r>
                    <w:r>
                      <w:rPr>
                        <w:rFonts w:ascii="HP Simplified" w:hAnsi="HP Simplified"/>
                        <w:color w:val="009ACF"/>
                        <w:sz w:val="18"/>
                        <w:szCs w:val="15"/>
                      </w:rPr>
                      <w:instrText xml:space="preserve"> PAGE  \* Arabic  \* MERGEFORMAT </w:instrText>
                    </w:r>
                    <w:r>
                      <w:rPr>
                        <w:rFonts w:ascii="HP Simplified" w:hAnsi="HP Simplified"/>
                        <w:color w:val="009ACF"/>
                        <w:sz w:val="18"/>
                        <w:szCs w:val="15"/>
                      </w:rPr>
                      <w:fldChar w:fldCharType="separate"/>
                    </w:r>
                    <w:r w:rsidR="00CE388D">
                      <w:rPr>
                        <w:rFonts w:ascii="HP Simplified" w:hAnsi="HP Simplified"/>
                        <w:noProof/>
                        <w:color w:val="009ACF"/>
                        <w:sz w:val="18"/>
                        <w:szCs w:val="15"/>
                      </w:rPr>
                      <w:t>1</w:t>
                    </w:r>
                    <w:r>
                      <w:rPr>
                        <w:rFonts w:ascii="HP Simplified" w:hAnsi="HP Simplified"/>
                        <w:color w:val="009ACF"/>
                        <w:sz w:val="18"/>
                        <w:szCs w:val="15"/>
                      </w:rPr>
                      <w:fldChar w:fldCharType="end"/>
                    </w:r>
                  </w:p>
                </w:txbxContent>
              </v:textbox>
              <w10:wrap anchorx="margin"/>
            </v:shape>
          </w:pict>
        </mc:Fallback>
      </mc:AlternateContent>
    </w:r>
    <w:r w:rsidRPr="0040708F">
      <w:rPr>
        <w:noProof/>
        <w:color w:val="231F20"/>
        <w:sz w:val="10"/>
        <w:lang w:val="en-GB" w:eastAsia="en-GB"/>
      </w:rPr>
      <mc:AlternateContent>
        <mc:Choice Requires="wps">
          <w:drawing>
            <wp:anchor distT="0" distB="0" distL="114300" distR="114300" simplePos="0" relativeHeight="251668480" behindDoc="0" locked="0" layoutInCell="1" allowOverlap="1" wp14:anchorId="36F3BC54" wp14:editId="3F8CA32E">
              <wp:simplePos x="0" y="0"/>
              <wp:positionH relativeFrom="margin">
                <wp:align>center</wp:align>
              </wp:positionH>
              <wp:positionV relativeFrom="paragraph">
                <wp:posOffset>23480</wp:posOffset>
              </wp:positionV>
              <wp:extent cx="679420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794205" cy="0"/>
                      </a:xfrm>
                      <a:prstGeom prst="line">
                        <a:avLst/>
                      </a:prstGeom>
                      <a:ln w="12700">
                        <a:solidFill>
                          <a:srgbClr val="009AC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0CEA36" id="Straight Connector 2" o:spid="_x0000_s1026" style="position:absolute;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5pt" to="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BvwgEAAN8DAAAOAAAAZHJzL2Uyb0RvYy54bWysU9uO2yAQfa/Uf0C8N3aidrdrxVlVWaUv&#10;Vbvq5QMIHmIkYBDQ2Pn7DsRxVm1Vqat9wTDMOXPmMF7fj9awI4So0bV8uag5Ayex0+7Q8h/fd2/e&#10;cxaTcJ0w6KDlJ4j8fvP61XrwDaywR9NBYETiYjP4lvcp+aaqouzBirhAD44uFQYrEh3DoeqCGIjd&#10;mmpV1zfVgKHzASXESNGH8yXfFH6lQKYvSkVIzLSctKWyhrLu81pt1qI5BOF7LScZ4hkqrNCOis5U&#10;DyIJ9jPoP6islgEjqrSQaCtUSksoPVA3y/q3br71wkPphcyJfrYpvhyt/HzcusdANgw+NtE/htzF&#10;qILNX9LHxmLWaTYLxsQkBW9u796u6necyctddQX6ENNHQMvypuVGu9yHaMTxU0xUjFIvKTlsHBto&#10;ela3dV3SIhrd7bQx+TKGw35rAjuK/Ib13YftLj8bUTxJo5NxFLx2UXbpZOBc4CsopjvSvTxXyAMG&#10;M62QElxaTrzGUXaGKZIwAydp/wJO+RkKZfj+BzwjSmV0aQZb7TD8TXYaL5LVOf/iwLnvbMEeu1N5&#10;32INTVFxbpr4PKZPzwV+/S83vwAAAP//AwBQSwMEFAAGAAgAAAAhAJkeYDbVAAAABQEAAA8AAABk&#10;cnMvZG93bnJldi54bWxMj8FOwzAQRO9I/IO1SNyoDUh1FbKpEIIPaOkHuPGShMbrKHaa9O/ZcoHj&#10;zKxm3pbbJfTqTGPqIiM8rgwo4jr6jhuEw+fHwwZUyo696yMTwoUSbKvbm9IVPs68o/M+N0pKOBUO&#10;oc15KLROdUvBpVUciCX7imNwWeTYaD+6WcpDr5+MWevgOpaF1g301lJ92k8BYdflw2T9xpyMv8zv&#10;drbfa20R7++W1xdQmZb8dwxXfEGHSpiOcWKfVI8gj2SEZwvqGhprxDj+Groq9X/66gcAAP//AwBQ&#10;SwECLQAUAAYACAAAACEAtoM4kv4AAADhAQAAEwAAAAAAAAAAAAAAAAAAAAAAW0NvbnRlbnRfVHlw&#10;ZXNdLnhtbFBLAQItABQABgAIAAAAIQA4/SH/1gAAAJQBAAALAAAAAAAAAAAAAAAAAC8BAABfcmVs&#10;cy8ucmVsc1BLAQItABQABgAIAAAAIQDCKHBvwgEAAN8DAAAOAAAAAAAAAAAAAAAAAC4CAABkcnMv&#10;ZTJvRG9jLnhtbFBLAQItABQABgAIAAAAIQCZHmA21QAAAAUBAAAPAAAAAAAAAAAAAAAAABwEAABk&#10;cnMvZG93bnJldi54bWxQSwUGAAAAAAQABADzAAAAHgUAAAAA&#10;" strokecolor="#009acf" strokeweight="1pt">
              <v:stroke joinstyle="miter"/>
              <w10:wrap anchorx="margin"/>
            </v:line>
          </w:pict>
        </mc:Fallback>
      </mc:AlternateContent>
    </w:r>
    <w:r w:rsidR="000F195B">
      <w:rPr>
        <w:rFonts w:ascii="HP Simplified" w:hAnsi="HP Simplified"/>
        <w:noProof/>
        <w:color w:val="009ACF"/>
        <w:sz w:val="14"/>
        <w:lang w:eastAsia="en-GB"/>
      </w:rPr>
      <w:t xml:space="preserve">Apogee Group Tax </w:t>
    </w:r>
    <w:r w:rsidR="000F195B" w:rsidRPr="005E14AA">
      <w:rPr>
        <w:rFonts w:ascii="HP Simplified" w:hAnsi="HP Simplified"/>
        <w:noProof/>
        <w:color w:val="009ACF"/>
        <w:sz w:val="14"/>
        <w:lang w:eastAsia="en-GB"/>
      </w:rPr>
      <w:t>Strategy 202</w:t>
    </w:r>
    <w:r w:rsidR="00436C29" w:rsidRPr="005E14AA">
      <w:rPr>
        <w:rFonts w:ascii="HP Simplified" w:hAnsi="HP Simplified"/>
        <w:noProof/>
        <w:color w:val="009ACF"/>
        <w:sz w:val="14"/>
        <w:lang w:eastAsia="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A929" w14:textId="77777777" w:rsidR="005E14AA" w:rsidRDefault="005E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F759" w14:textId="77777777" w:rsidR="005D7AFE" w:rsidRDefault="005D7AFE" w:rsidP="002177E2">
      <w:pPr>
        <w:spacing w:after="0" w:line="240" w:lineRule="auto"/>
      </w:pPr>
      <w:r>
        <w:separator/>
      </w:r>
    </w:p>
  </w:footnote>
  <w:footnote w:type="continuationSeparator" w:id="0">
    <w:p w14:paraId="6192BD29" w14:textId="77777777" w:rsidR="005D7AFE" w:rsidRDefault="005D7AFE" w:rsidP="0021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6552" w14:textId="77777777" w:rsidR="00DC194F" w:rsidRDefault="00396BBD">
    <w:pPr>
      <w:pStyle w:val="Header"/>
    </w:pPr>
    <w:r>
      <w:rPr>
        <w:noProof/>
        <w:lang w:eastAsia="en-GB"/>
      </w:rPr>
      <w:drawing>
        <wp:anchor distT="0" distB="0" distL="114300" distR="114300" simplePos="0" relativeHeight="251675648" behindDoc="0" locked="0" layoutInCell="1" allowOverlap="1" wp14:anchorId="5819E41A" wp14:editId="7450A6D6">
          <wp:simplePos x="0" y="0"/>
          <wp:positionH relativeFrom="margin">
            <wp:posOffset>0</wp:posOffset>
          </wp:positionH>
          <wp:positionV relativeFrom="margin">
            <wp:posOffset>-245110</wp:posOffset>
          </wp:positionV>
          <wp:extent cx="1440000" cy="489969"/>
          <wp:effectExtent l="0" t="0" r="825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OGEE_Master Logo_BLK NO STRAPLINE 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99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27F0" w14:textId="77777777" w:rsidR="00F029A7" w:rsidRDefault="00F029A7" w:rsidP="0040708F">
    <w:pPr>
      <w:pStyle w:val="Header"/>
      <w:tabs>
        <w:tab w:val="clear" w:pos="9026"/>
        <w:tab w:val="right" w:pos="9746"/>
      </w:tabs>
    </w:pPr>
    <w:r>
      <w:rPr>
        <w:noProof/>
        <w:lang w:eastAsia="en-GB"/>
      </w:rPr>
      <w:drawing>
        <wp:anchor distT="0" distB="0" distL="114300" distR="114300" simplePos="0" relativeHeight="251659264" behindDoc="0" locked="0" layoutInCell="1" allowOverlap="1" wp14:anchorId="551D6770" wp14:editId="64160BBA">
          <wp:simplePos x="0" y="0"/>
          <wp:positionH relativeFrom="margin">
            <wp:posOffset>-211455</wp:posOffset>
          </wp:positionH>
          <wp:positionV relativeFrom="topMargin">
            <wp:posOffset>327660</wp:posOffset>
          </wp:positionV>
          <wp:extent cx="1440000" cy="507422"/>
          <wp:effectExtent l="0" t="0" r="8255" b="698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OGEE_Master Logo_BLK NO STRAPLINE 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07422"/>
                  </a:xfrm>
                  <a:prstGeom prst="rect">
                    <a:avLst/>
                  </a:prstGeom>
                </pic:spPr>
              </pic:pic>
            </a:graphicData>
          </a:graphic>
          <wp14:sizeRelH relativeFrom="margin">
            <wp14:pctWidth>0</wp14:pctWidth>
          </wp14:sizeRelH>
          <wp14:sizeRelV relativeFrom="margin">
            <wp14:pctHeight>0</wp14:pctHeight>
          </wp14:sizeRelV>
        </wp:anchor>
      </w:drawing>
    </w:r>
  </w:p>
  <w:p w14:paraId="16F8DC42" w14:textId="77777777" w:rsidR="00F029A7" w:rsidRDefault="00F029A7" w:rsidP="0040708F">
    <w:pPr>
      <w:pStyle w:val="Header"/>
      <w:tabs>
        <w:tab w:val="clear" w:pos="9026"/>
        <w:tab w:val="right" w:pos="9746"/>
      </w:tabs>
    </w:pPr>
  </w:p>
  <w:p w14:paraId="6426A10C" w14:textId="77777777" w:rsidR="00F029A7" w:rsidRDefault="00F029A7" w:rsidP="0040708F">
    <w:pPr>
      <w:pStyle w:val="Header"/>
      <w:tabs>
        <w:tab w:val="clear" w:pos="9026"/>
        <w:tab w:val="right" w:pos="9746"/>
      </w:tabs>
    </w:pPr>
  </w:p>
  <w:p w14:paraId="38FD37BB" w14:textId="77777777" w:rsidR="00F029A7" w:rsidRDefault="00F029A7" w:rsidP="0040708F">
    <w:pPr>
      <w:pStyle w:val="Header"/>
      <w:tabs>
        <w:tab w:val="clear" w:pos="9026"/>
        <w:tab w:val="right" w:pos="9746"/>
      </w:tabs>
    </w:pPr>
  </w:p>
  <w:p w14:paraId="654FC9C3" w14:textId="77777777" w:rsidR="002177E2" w:rsidRDefault="002177E2" w:rsidP="0040708F">
    <w:pPr>
      <w:pStyle w:val="Header"/>
      <w:tabs>
        <w:tab w:val="clear" w:pos="9026"/>
        <w:tab w:val="right" w:pos="974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0544" w14:textId="77777777" w:rsidR="005E14AA" w:rsidRDefault="005E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7D7"/>
    <w:multiLevelType w:val="hybridMultilevel"/>
    <w:tmpl w:val="EF1A4C96"/>
    <w:lvl w:ilvl="0" w:tplc="4EA475D6">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25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E2"/>
    <w:rsid w:val="000119FE"/>
    <w:rsid w:val="00015FBD"/>
    <w:rsid w:val="000258FF"/>
    <w:rsid w:val="00052AA7"/>
    <w:rsid w:val="00052AEA"/>
    <w:rsid w:val="00054960"/>
    <w:rsid w:val="000873AD"/>
    <w:rsid w:val="00092B72"/>
    <w:rsid w:val="000A1A29"/>
    <w:rsid w:val="000A349B"/>
    <w:rsid w:val="000E7688"/>
    <w:rsid w:val="000F195B"/>
    <w:rsid w:val="00165E2F"/>
    <w:rsid w:val="001B6CED"/>
    <w:rsid w:val="002049E3"/>
    <w:rsid w:val="002177E2"/>
    <w:rsid w:val="00222DCF"/>
    <w:rsid w:val="00290C8A"/>
    <w:rsid w:val="002A5A39"/>
    <w:rsid w:val="00323A3F"/>
    <w:rsid w:val="00330799"/>
    <w:rsid w:val="00351CCC"/>
    <w:rsid w:val="00396BBD"/>
    <w:rsid w:val="003C64B0"/>
    <w:rsid w:val="0040708F"/>
    <w:rsid w:val="004077E5"/>
    <w:rsid w:val="00436C29"/>
    <w:rsid w:val="00466075"/>
    <w:rsid w:val="0047600C"/>
    <w:rsid w:val="004A5FE0"/>
    <w:rsid w:val="004B4A5A"/>
    <w:rsid w:val="004F7D92"/>
    <w:rsid w:val="005414F7"/>
    <w:rsid w:val="0057333E"/>
    <w:rsid w:val="005750E3"/>
    <w:rsid w:val="005A04D1"/>
    <w:rsid w:val="005D7AFE"/>
    <w:rsid w:val="005E14AA"/>
    <w:rsid w:val="00686568"/>
    <w:rsid w:val="00702888"/>
    <w:rsid w:val="00716893"/>
    <w:rsid w:val="00755BFA"/>
    <w:rsid w:val="00760E62"/>
    <w:rsid w:val="007A2F14"/>
    <w:rsid w:val="007E5713"/>
    <w:rsid w:val="007E67A6"/>
    <w:rsid w:val="0080185E"/>
    <w:rsid w:val="00807018"/>
    <w:rsid w:val="00821991"/>
    <w:rsid w:val="008321A0"/>
    <w:rsid w:val="00863C0F"/>
    <w:rsid w:val="0089564A"/>
    <w:rsid w:val="008B5E28"/>
    <w:rsid w:val="008E3160"/>
    <w:rsid w:val="009305F9"/>
    <w:rsid w:val="009B3C2D"/>
    <w:rsid w:val="009C378C"/>
    <w:rsid w:val="009C73DA"/>
    <w:rsid w:val="00A063AB"/>
    <w:rsid w:val="00A327D3"/>
    <w:rsid w:val="00A864AE"/>
    <w:rsid w:val="00B03DA3"/>
    <w:rsid w:val="00B056F3"/>
    <w:rsid w:val="00B12F22"/>
    <w:rsid w:val="00B332B2"/>
    <w:rsid w:val="00B47A1B"/>
    <w:rsid w:val="00B5113B"/>
    <w:rsid w:val="00C14808"/>
    <w:rsid w:val="00C678F2"/>
    <w:rsid w:val="00CA725C"/>
    <w:rsid w:val="00CB3C75"/>
    <w:rsid w:val="00CC7E72"/>
    <w:rsid w:val="00CD529B"/>
    <w:rsid w:val="00CD6CC5"/>
    <w:rsid w:val="00CE388D"/>
    <w:rsid w:val="00D53EB2"/>
    <w:rsid w:val="00D966F2"/>
    <w:rsid w:val="00DA1091"/>
    <w:rsid w:val="00DB2B77"/>
    <w:rsid w:val="00DB740A"/>
    <w:rsid w:val="00DB7ED6"/>
    <w:rsid w:val="00DC0E15"/>
    <w:rsid w:val="00DC194F"/>
    <w:rsid w:val="00DE0B78"/>
    <w:rsid w:val="00E21119"/>
    <w:rsid w:val="00E43C80"/>
    <w:rsid w:val="00EA343B"/>
    <w:rsid w:val="00EC26BD"/>
    <w:rsid w:val="00EE1DDB"/>
    <w:rsid w:val="00EE44C6"/>
    <w:rsid w:val="00EF449F"/>
    <w:rsid w:val="00F00134"/>
    <w:rsid w:val="00F029A7"/>
    <w:rsid w:val="00F5402E"/>
    <w:rsid w:val="00F77433"/>
    <w:rsid w:val="00F96AFE"/>
    <w:rsid w:val="00FA2103"/>
    <w:rsid w:val="00FC79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88BFB5"/>
  <w15:chartTrackingRefBased/>
  <w15:docId w15:val="{1311155D-1F00-4CFB-8B5C-5E29FBB3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7E2"/>
  </w:style>
  <w:style w:type="paragraph" w:styleId="Footer">
    <w:name w:val="footer"/>
    <w:basedOn w:val="Normal"/>
    <w:link w:val="FooterChar"/>
    <w:uiPriority w:val="99"/>
    <w:unhideWhenUsed/>
    <w:rsid w:val="00217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7E2"/>
  </w:style>
  <w:style w:type="paragraph" w:styleId="BodyText">
    <w:name w:val="Body Text"/>
    <w:basedOn w:val="Normal"/>
    <w:link w:val="BodyTextChar"/>
    <w:uiPriority w:val="1"/>
    <w:qFormat/>
    <w:rsid w:val="002177E2"/>
    <w:pPr>
      <w:widowControl w:val="0"/>
      <w:autoSpaceDE w:val="0"/>
      <w:autoSpaceDN w:val="0"/>
      <w:spacing w:after="0" w:line="240" w:lineRule="auto"/>
    </w:pPr>
    <w:rPr>
      <w:rFonts w:ascii="Calibri" w:eastAsia="Calibri" w:hAnsi="Calibri" w:cs="Calibri"/>
      <w:sz w:val="12"/>
      <w:szCs w:val="12"/>
      <w:lang w:val="en-US"/>
    </w:rPr>
  </w:style>
  <w:style w:type="character" w:customStyle="1" w:styleId="BodyTextChar">
    <w:name w:val="Body Text Char"/>
    <w:basedOn w:val="DefaultParagraphFont"/>
    <w:link w:val="BodyText"/>
    <w:uiPriority w:val="1"/>
    <w:rsid w:val="002177E2"/>
    <w:rPr>
      <w:rFonts w:ascii="Calibri" w:eastAsia="Calibri" w:hAnsi="Calibri" w:cs="Calibri"/>
      <w:sz w:val="12"/>
      <w:szCs w:val="12"/>
      <w:lang w:val="en-US"/>
    </w:rPr>
  </w:style>
  <w:style w:type="paragraph" w:customStyle="1" w:styleId="Default">
    <w:name w:val="Default"/>
    <w:rsid w:val="002177E2"/>
    <w:pPr>
      <w:autoSpaceDE w:val="0"/>
      <w:autoSpaceDN w:val="0"/>
      <w:adjustRightInd w:val="0"/>
      <w:spacing w:after="0" w:line="240" w:lineRule="auto"/>
    </w:pPr>
    <w:rPr>
      <w:rFonts w:ascii="XTWYM B+ Agfa Rotis Semisans" w:hAnsi="XTWYM B+ Agfa Rotis Semisans" w:cs="XTWYM B+ Agfa Rotis Semisans"/>
      <w:color w:val="000000"/>
      <w:sz w:val="24"/>
      <w:szCs w:val="24"/>
    </w:rPr>
  </w:style>
  <w:style w:type="character" w:styleId="Hyperlink">
    <w:name w:val="Hyperlink"/>
    <w:basedOn w:val="DefaultParagraphFont"/>
    <w:uiPriority w:val="99"/>
    <w:unhideWhenUsed/>
    <w:rsid w:val="00015FBD"/>
    <w:rPr>
      <w:color w:val="0563C1" w:themeColor="hyperlink"/>
      <w:u w:val="single"/>
    </w:rPr>
  </w:style>
  <w:style w:type="paragraph" w:styleId="BalloonText">
    <w:name w:val="Balloon Text"/>
    <w:basedOn w:val="Normal"/>
    <w:link w:val="BalloonTextChar"/>
    <w:uiPriority w:val="99"/>
    <w:semiHidden/>
    <w:unhideWhenUsed/>
    <w:rsid w:val="002A5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A39"/>
    <w:rPr>
      <w:rFonts w:ascii="Segoe UI" w:hAnsi="Segoe UI" w:cs="Segoe UI"/>
      <w:sz w:val="18"/>
      <w:szCs w:val="18"/>
    </w:rPr>
  </w:style>
  <w:style w:type="paragraph" w:styleId="ListParagraph">
    <w:name w:val="List Paragraph"/>
    <w:basedOn w:val="Normal"/>
    <w:uiPriority w:val="34"/>
    <w:qFormat/>
    <w:rsid w:val="008B5E28"/>
    <w:pPr>
      <w:ind w:left="720"/>
      <w:contextualSpacing/>
    </w:pPr>
  </w:style>
  <w:style w:type="paragraph" w:styleId="Revision">
    <w:name w:val="Revision"/>
    <w:hidden/>
    <w:uiPriority w:val="99"/>
    <w:semiHidden/>
    <w:rsid w:val="008321A0"/>
    <w:pPr>
      <w:spacing w:after="0" w:line="240" w:lineRule="auto"/>
    </w:pPr>
  </w:style>
  <w:style w:type="paragraph" w:styleId="FootnoteText">
    <w:name w:val="footnote text"/>
    <w:basedOn w:val="Normal"/>
    <w:link w:val="FootnoteTextChar"/>
    <w:uiPriority w:val="99"/>
    <w:semiHidden/>
    <w:unhideWhenUsed/>
    <w:rsid w:val="00092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B72"/>
    <w:rPr>
      <w:sz w:val="20"/>
      <w:szCs w:val="20"/>
    </w:rPr>
  </w:style>
  <w:style w:type="character" w:styleId="FootnoteReference">
    <w:name w:val="footnote reference"/>
    <w:basedOn w:val="DefaultParagraphFont"/>
    <w:uiPriority w:val="99"/>
    <w:semiHidden/>
    <w:unhideWhenUsed/>
    <w:rsid w:val="00092B72"/>
    <w:rPr>
      <w:vertAlign w:val="superscript"/>
    </w:rPr>
  </w:style>
  <w:style w:type="character" w:styleId="CommentReference">
    <w:name w:val="annotation reference"/>
    <w:basedOn w:val="DefaultParagraphFont"/>
    <w:uiPriority w:val="99"/>
    <w:semiHidden/>
    <w:unhideWhenUsed/>
    <w:rsid w:val="000258FF"/>
    <w:rPr>
      <w:sz w:val="16"/>
      <w:szCs w:val="16"/>
    </w:rPr>
  </w:style>
  <w:style w:type="paragraph" w:styleId="CommentText">
    <w:name w:val="annotation text"/>
    <w:basedOn w:val="Normal"/>
    <w:link w:val="CommentTextChar"/>
    <w:uiPriority w:val="99"/>
    <w:unhideWhenUsed/>
    <w:rsid w:val="000258FF"/>
    <w:pPr>
      <w:spacing w:line="240" w:lineRule="auto"/>
    </w:pPr>
    <w:rPr>
      <w:sz w:val="20"/>
      <w:szCs w:val="20"/>
    </w:rPr>
  </w:style>
  <w:style w:type="character" w:customStyle="1" w:styleId="CommentTextChar">
    <w:name w:val="Comment Text Char"/>
    <w:basedOn w:val="DefaultParagraphFont"/>
    <w:link w:val="CommentText"/>
    <w:uiPriority w:val="99"/>
    <w:rsid w:val="000258FF"/>
    <w:rPr>
      <w:sz w:val="20"/>
      <w:szCs w:val="20"/>
    </w:rPr>
  </w:style>
  <w:style w:type="paragraph" w:styleId="CommentSubject">
    <w:name w:val="annotation subject"/>
    <w:basedOn w:val="CommentText"/>
    <w:next w:val="CommentText"/>
    <w:link w:val="CommentSubjectChar"/>
    <w:uiPriority w:val="99"/>
    <w:semiHidden/>
    <w:unhideWhenUsed/>
    <w:rsid w:val="000258FF"/>
    <w:rPr>
      <w:b/>
      <w:bCs/>
    </w:rPr>
  </w:style>
  <w:style w:type="character" w:customStyle="1" w:styleId="CommentSubjectChar">
    <w:name w:val="Comment Subject Char"/>
    <w:basedOn w:val="CommentTextChar"/>
    <w:link w:val="CommentSubject"/>
    <w:uiPriority w:val="99"/>
    <w:semiHidden/>
    <w:rsid w:val="000258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B9BD-F615-47BD-BA02-BA07E9117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Hoffman, Alexander</cp:lastModifiedBy>
  <cp:revision>13</cp:revision>
  <cp:lastPrinted>2019-01-04T11:57:00Z</cp:lastPrinted>
  <dcterms:created xsi:type="dcterms:W3CDTF">2023-10-24T12:07:00Z</dcterms:created>
  <dcterms:modified xsi:type="dcterms:W3CDTF">2025-09-17T06:22:00Z</dcterms:modified>
</cp:coreProperties>
</file>